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92" w:rsidRDefault="006B5E30" w:rsidP="006B5E30">
      <w:pPr>
        <w:jc w:val="center"/>
      </w:pPr>
      <w:r w:rsidRPr="00C96FC2">
        <w:rPr>
          <w:b/>
          <w:sz w:val="24"/>
        </w:rPr>
        <w:t>Vraag &amp; Antwoord einde afval recyclinggranulaten</w:t>
      </w:r>
    </w:p>
    <w:tbl>
      <w:tblPr>
        <w:tblStyle w:val="Tabelraster"/>
        <w:tblW w:w="0" w:type="auto"/>
        <w:tblLook w:val="04A0" w:firstRow="1" w:lastRow="0" w:firstColumn="1" w:lastColumn="0" w:noHBand="0" w:noVBand="1"/>
      </w:tblPr>
      <w:tblGrid>
        <w:gridCol w:w="9062"/>
      </w:tblGrid>
      <w:tr w:rsidR="00C96FC2" w:rsidTr="00BC7492">
        <w:tc>
          <w:tcPr>
            <w:tcW w:w="9062" w:type="dxa"/>
            <w:shd w:val="clear" w:color="auto" w:fill="D9D9D9" w:themeFill="background1" w:themeFillShade="D9"/>
          </w:tcPr>
          <w:p w:rsidR="00C96FC2" w:rsidRDefault="00C96FC2"/>
        </w:tc>
      </w:tr>
      <w:tr w:rsidR="00C96FC2" w:rsidTr="00C96FC2">
        <w:tc>
          <w:tcPr>
            <w:tcW w:w="9062" w:type="dxa"/>
          </w:tcPr>
          <w:p w:rsidR="00C96FC2" w:rsidRDefault="00C96FC2" w:rsidP="00C96FC2">
            <w:r>
              <w:t>Vraag: Is de regeling ook van toepassing op hydraulisch menggranulaat?</w:t>
            </w:r>
          </w:p>
          <w:p w:rsidR="00C96FC2" w:rsidRDefault="00C96FC2" w:rsidP="00C96FC2"/>
          <w:p w:rsidR="00C96FC2" w:rsidRDefault="00C96FC2" w:rsidP="00C96FC2">
            <w:r>
              <w:t xml:space="preserve">Antwoord: Ja, de betreffende normen zijn opgenomen en in artikel </w:t>
            </w:r>
            <w:r w:rsidR="00BC7492">
              <w:t>4 lid 1</w:t>
            </w:r>
            <w:r>
              <w:t xml:space="preserve"> is geregeld dat </w:t>
            </w:r>
            <w:proofErr w:type="spellStart"/>
            <w:r w:rsidR="00BC7492">
              <w:t>stabililsator</w:t>
            </w:r>
            <w:r>
              <w:t>slakken</w:t>
            </w:r>
            <w:proofErr w:type="spellEnd"/>
            <w:r w:rsidR="00BC7492">
              <w:t>, maar eventueel ook cement of kalkachtige stoffen</w:t>
            </w:r>
            <w:r>
              <w:t xml:space="preserve"> kunnen worden toegevoegd om de juiste mengs</w:t>
            </w:r>
            <w:r w:rsidR="00BC7492">
              <w:t>elsamenstelling te kunnen maken, mits wordt voldaan aan de gestelde normen.</w:t>
            </w:r>
          </w:p>
          <w:p w:rsidR="00C96FC2" w:rsidRDefault="00C96FC2"/>
        </w:tc>
      </w:tr>
      <w:tr w:rsidR="00C96FC2" w:rsidTr="00BC7492">
        <w:tc>
          <w:tcPr>
            <w:tcW w:w="9062" w:type="dxa"/>
            <w:shd w:val="clear" w:color="auto" w:fill="D9D9D9" w:themeFill="background1" w:themeFillShade="D9"/>
          </w:tcPr>
          <w:p w:rsidR="00C96FC2" w:rsidRDefault="00C96FC2" w:rsidP="00C96FC2">
            <w:r>
              <w:t>Vraag: Is de regeling ook van toepassing op AVI-bodemassen?</w:t>
            </w:r>
          </w:p>
          <w:p w:rsidR="00C96FC2" w:rsidRDefault="00C96FC2" w:rsidP="00C96FC2"/>
          <w:p w:rsidR="00C96FC2" w:rsidRDefault="00C96FC2" w:rsidP="00C96FC2">
            <w:r>
              <w:t xml:space="preserve">Antwoord: Nee, de </w:t>
            </w:r>
            <w:r w:rsidR="006B5E30">
              <w:t xml:space="preserve">definitie van </w:t>
            </w:r>
            <w:r>
              <w:t xml:space="preserve">recyclinggranulaten </w:t>
            </w:r>
            <w:r w:rsidR="006B5E30">
              <w:t>laten geen AVI-bodemassen toe in deze regeling. Dit geldt ook voor staalslakken en dergelijke. In de toelichting is hier meer informatie over opgenomen.</w:t>
            </w:r>
          </w:p>
          <w:p w:rsidR="00C96FC2" w:rsidRDefault="00C96FC2"/>
        </w:tc>
      </w:tr>
      <w:tr w:rsidR="00C96FC2" w:rsidTr="00C96FC2">
        <w:tc>
          <w:tcPr>
            <w:tcW w:w="9062" w:type="dxa"/>
          </w:tcPr>
          <w:p w:rsidR="00C96FC2" w:rsidRDefault="00C96FC2" w:rsidP="00C96FC2">
            <w:r>
              <w:t>Artikel 7 lid 2 geeft aan dat er een controle door een derde partij moet worden gedaan op het niveau van systeem 2+ van de Bouwproductenverordening of vergelijkbaar. Is BRL 2506 vergelijkbaar?</w:t>
            </w:r>
          </w:p>
          <w:p w:rsidR="00C96FC2" w:rsidRDefault="00C96FC2" w:rsidP="00C96FC2"/>
          <w:p w:rsidR="00BC7492" w:rsidRDefault="00C96FC2" w:rsidP="00C96FC2">
            <w:r>
              <w:t>Antwoord: Ja. Systeem 2+ van de Bouwproductenverordening vereist dat de fabrikant een aantal controles zelf uitvoert. De externe instantie voert een initiële inspectie uit van de productie-installatie en van de productiecontrole in de fabriek. Verder moet er een permanente bewaking, beoordeling en evaluatie van de productiecontrole zijn.</w:t>
            </w:r>
          </w:p>
          <w:p w:rsidR="00C96FC2" w:rsidRDefault="00BC7492" w:rsidP="00C96FC2">
            <w:r>
              <w:t>In de praktijk betekent systeem 2+ dat er jaarlijks 1 bezoek door de externe instantie (aangemelde instantie) wordt uitgevoerd.</w:t>
            </w:r>
            <w:r w:rsidR="00C96FC2">
              <w:br/>
              <w:t>Deze zaken zijn de kern van het certificaat op basis van BRL 2506 en is daarmee derhalve afgedekt. Voor bedrijven die niet over dit certificaat beschikken dient een kwaliteitsborgingssysteem te worden opgesteld volgens de vereisten van de vereiste Europese productnormen, dat vervolgens door een derde instant</w:t>
            </w:r>
            <w:r>
              <w:t xml:space="preserve">ie moet worden gecontroleerd </w:t>
            </w:r>
            <w:r w:rsidR="00C96FC2">
              <w:t>volgens de bovengenoemde punten.</w:t>
            </w:r>
          </w:p>
          <w:p w:rsidR="00C96FC2" w:rsidRDefault="00C96FC2" w:rsidP="00C96FC2">
            <w:r>
              <w:t>Daadwerkelijke certificatie is niet verplicht gesteld.</w:t>
            </w:r>
            <w:r w:rsidR="00BC7492">
              <w:t xml:space="preserve"> Overigens kent BRL 2506 een intensievere externe controle dan de Bouwproductenverordening vereist.</w:t>
            </w:r>
          </w:p>
          <w:p w:rsidR="00C96FC2" w:rsidRDefault="00C96FC2"/>
        </w:tc>
      </w:tr>
      <w:tr w:rsidR="00C96FC2" w:rsidTr="00BC7492">
        <w:tc>
          <w:tcPr>
            <w:tcW w:w="9062" w:type="dxa"/>
            <w:shd w:val="clear" w:color="auto" w:fill="D9D9D9" w:themeFill="background1" w:themeFillShade="D9"/>
          </w:tcPr>
          <w:p w:rsidR="00C96FC2" w:rsidRDefault="00C96FC2" w:rsidP="00C96FC2">
            <w:r>
              <w:t xml:space="preserve">Vraag: Artikel 7 lid 3 geeft aan dat recyclinggranulaat aan de regeling voldoet indien het product is voorzien van een </w:t>
            </w:r>
            <w:proofErr w:type="spellStart"/>
            <w:r>
              <w:t>DoP</w:t>
            </w:r>
            <w:proofErr w:type="spellEnd"/>
            <w:r>
              <w:t xml:space="preserve"> volgens de Bouwproductenverordening en een certificaat voor de aspecten waar de </w:t>
            </w:r>
            <w:proofErr w:type="spellStart"/>
            <w:r>
              <w:t>DoP</w:t>
            </w:r>
            <w:proofErr w:type="spellEnd"/>
            <w:r>
              <w:t xml:space="preserve"> geen betrekking op heeft. In de toelichting staat dat certificatie niet verplicht is, hoe zit dat?</w:t>
            </w:r>
          </w:p>
          <w:p w:rsidR="00C96FC2" w:rsidRDefault="00C96FC2" w:rsidP="00C96FC2"/>
          <w:p w:rsidR="008D1159" w:rsidRDefault="00C96FC2" w:rsidP="00C96FC2">
            <w:r>
              <w:t>Antwoord: Het klopt dat de redactie</w:t>
            </w:r>
            <w:r w:rsidR="00BC7492">
              <w:t xml:space="preserve"> van dit artikel vragen oproept, maar in de toelichting is dit verder aangegeven.</w:t>
            </w:r>
            <w:r>
              <w:br/>
              <w:t xml:space="preserve">In de regeling is bedoeld dat wanneer er sprake is van certificatie, dit kan worden ingezet om aan te tonen dat aan de regeling wordt voldaan. De regeling sluit niet uit dat producten zonder certificaat toch aan de regeling kunnen voldoen, omdat de regeling uitsluitend regelt dat de producent zijn interne procedures afstemt op het </w:t>
            </w:r>
            <w:r w:rsidR="00BC7492">
              <w:t>niveau</w:t>
            </w:r>
            <w:r>
              <w:t xml:space="preserve"> van de Europese productnormen Of vergelijkbaar. </w:t>
            </w:r>
          </w:p>
          <w:p w:rsidR="008D1159" w:rsidRDefault="008D1159" w:rsidP="00C96FC2">
            <w:bookmarkStart w:id="0" w:name="_GoBack"/>
            <w:bookmarkEnd w:id="0"/>
          </w:p>
          <w:p w:rsidR="008D1159" w:rsidRDefault="008D1159" w:rsidP="00C96FC2">
            <w:r>
              <w:t>Reactie van de wetgevingsjurist van I&amp;M:</w:t>
            </w:r>
          </w:p>
          <w:p w:rsidR="008D1159" w:rsidRDefault="008D1159" w:rsidP="008D1159">
            <w:pPr>
              <w:pStyle w:val="Tekstzonderopmaak"/>
            </w:pPr>
            <w:r>
              <w:t>M.i. is het woord "indien" in de aanhef van het vierde lid van artikel 7 doorslaggevend. Dat woord geeft m.i. aan dat granulaat onder bepaalde omstandigheden voldoet aan de eisen van de regeling. Namelijk de omstandigheid dat er een prestatieverklaring en/of certificaat is. Er staat niet dat die documenten er moeten zijn. Anders had er m.i. iets moeten staat in de trant van: " Recyclinggranulaat gaat vergezeld van..." .</w:t>
            </w:r>
          </w:p>
          <w:p w:rsidR="008D1159" w:rsidRDefault="008D1159" w:rsidP="008D1159">
            <w:pPr>
              <w:pStyle w:val="Tekstzonderopmaak"/>
            </w:pPr>
          </w:p>
          <w:p w:rsidR="008D1159" w:rsidRDefault="008D1159" w:rsidP="008D1159">
            <w:pPr>
              <w:pStyle w:val="Tekstzonderopmaak"/>
            </w:pPr>
            <w:r>
              <w:t>Er staat ook niet dat door die documenten het granulaat de einde-afvalfase bereikt. Er staat m.i. dat met die documenten de conformiteit met de eisen wordt aangetoond. In art. 2, eerste lid, staat dat de eindeafvalfase is bereikt indien aan de eisen van de regeling wordt voldaan. Als a en b van het vierde lid als eisen zouden moeten worden aangemerkt voor end-of-waste, dan zou artikel 2 niet meer nodig zijn.</w:t>
            </w:r>
          </w:p>
          <w:p w:rsidR="008D1159" w:rsidRDefault="008D1159" w:rsidP="008D1159">
            <w:pPr>
              <w:pStyle w:val="Tekstzonderopmaak"/>
            </w:pPr>
          </w:p>
          <w:p w:rsidR="008D1159" w:rsidRDefault="008D1159" w:rsidP="008D1159">
            <w:pPr>
              <w:pStyle w:val="Tekstzonderopmaak"/>
            </w:pPr>
            <w:r>
              <w:lastRenderedPageBreak/>
              <w:t>Dus gezien de context en de toelichting ben ik van mening dat het vierde lid gelezen moet worden zoals we het bedoeld hebben.</w:t>
            </w:r>
          </w:p>
          <w:p w:rsidR="008D1159" w:rsidRDefault="008D1159" w:rsidP="008D1159">
            <w:pPr>
              <w:pStyle w:val="Tekstzonderopmaak"/>
            </w:pPr>
          </w:p>
          <w:p w:rsidR="00C96FC2" w:rsidRDefault="008D1159" w:rsidP="008D1159">
            <w:pPr>
              <w:pStyle w:val="Tekstzonderopmaak"/>
            </w:pPr>
            <w:r>
              <w:t>Had het nog iets duidelijker opgeschreven kunnen worden? Ja, waarschijnlijk wel. Bijvoorbeeld door de aanhef als volgt te formuleren: Recyclinggranulaat voldoet in ieder geval aan de eisen gesteld in deze regeling indien:.... .</w:t>
            </w:r>
          </w:p>
        </w:tc>
      </w:tr>
      <w:tr w:rsidR="00C96FC2" w:rsidTr="00C96FC2">
        <w:tc>
          <w:tcPr>
            <w:tcW w:w="9062" w:type="dxa"/>
          </w:tcPr>
          <w:p w:rsidR="00BC7492" w:rsidRDefault="00BC7492">
            <w:r>
              <w:lastRenderedPageBreak/>
              <w:t>Vraag: Moet de externe instantie</w:t>
            </w:r>
            <w:r w:rsidR="006B5E30">
              <w:t xml:space="preserve">, bedoeld in artikel 7 lid 2, </w:t>
            </w:r>
            <w:r>
              <w:t xml:space="preserve">die de controles op het niveau van systeem 2+ uitvoert ook daadwerkelijk een aangemelde instantie of </w:t>
            </w:r>
            <w:proofErr w:type="spellStart"/>
            <w:r>
              <w:t>notified</w:t>
            </w:r>
            <w:proofErr w:type="spellEnd"/>
            <w:r>
              <w:t xml:space="preserve"> body zijn?</w:t>
            </w:r>
          </w:p>
          <w:p w:rsidR="00BC7492" w:rsidRDefault="00BC7492"/>
          <w:p w:rsidR="00BC7492" w:rsidRDefault="00BC7492" w:rsidP="00BC7492">
            <w:r>
              <w:t xml:space="preserve">Antwoord: Nee, het gaat er om dat de door een derde uitgevoerde controle plaatsvindt op het bedoelde niveau. </w:t>
            </w:r>
          </w:p>
        </w:tc>
      </w:tr>
      <w:tr w:rsidR="00C96FC2" w:rsidTr="00BC7492">
        <w:tc>
          <w:tcPr>
            <w:tcW w:w="9062" w:type="dxa"/>
            <w:shd w:val="clear" w:color="auto" w:fill="D9D9D9" w:themeFill="background1" w:themeFillShade="D9"/>
          </w:tcPr>
          <w:p w:rsidR="00C96FC2" w:rsidRDefault="00C96FC2"/>
        </w:tc>
      </w:tr>
      <w:tr w:rsidR="00C96FC2" w:rsidTr="00C96FC2">
        <w:tc>
          <w:tcPr>
            <w:tcW w:w="9062" w:type="dxa"/>
          </w:tcPr>
          <w:p w:rsidR="00C96FC2" w:rsidRDefault="00C96FC2"/>
        </w:tc>
      </w:tr>
    </w:tbl>
    <w:p w:rsidR="00C96FC2" w:rsidRDefault="00C96FC2"/>
    <w:sectPr w:rsidR="00C96FC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92" w:rsidRDefault="00BC7492" w:rsidP="00BC7492">
      <w:pPr>
        <w:spacing w:after="0" w:line="240" w:lineRule="auto"/>
      </w:pPr>
      <w:r>
        <w:separator/>
      </w:r>
    </w:p>
  </w:endnote>
  <w:endnote w:type="continuationSeparator" w:id="0">
    <w:p w:rsidR="00BC7492" w:rsidRDefault="00BC7492" w:rsidP="00B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92" w:rsidRDefault="00BC7492" w:rsidP="00BC7492">
      <w:pPr>
        <w:spacing w:after="0" w:line="240" w:lineRule="auto"/>
      </w:pPr>
      <w:r>
        <w:separator/>
      </w:r>
    </w:p>
  </w:footnote>
  <w:footnote w:type="continuationSeparator" w:id="0">
    <w:p w:rsidR="00BC7492" w:rsidRDefault="00BC7492" w:rsidP="00BC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92" w:rsidRDefault="00BC7492" w:rsidP="00BC7492">
    <w:pPr>
      <w:pStyle w:val="Koptekst"/>
      <w:jc w:val="center"/>
    </w:pPr>
    <w:r>
      <w:rPr>
        <w:noProof/>
        <w:lang w:eastAsia="nl-NL"/>
      </w:rPr>
      <w:drawing>
        <wp:inline distT="0" distB="0" distL="0" distR="0">
          <wp:extent cx="1295400" cy="659085"/>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BS_Recycling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917" cy="674612"/>
                  </a:xfrm>
                  <a:prstGeom prst="rect">
                    <a:avLst/>
                  </a:prstGeom>
                </pic:spPr>
              </pic:pic>
            </a:graphicData>
          </a:graphic>
        </wp:inline>
      </w:drawing>
    </w:r>
  </w:p>
  <w:p w:rsidR="00BC7492" w:rsidRDefault="00BC74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9C"/>
    <w:rsid w:val="006B5E30"/>
    <w:rsid w:val="006E2BAB"/>
    <w:rsid w:val="008A009C"/>
    <w:rsid w:val="008D1159"/>
    <w:rsid w:val="00A62E30"/>
    <w:rsid w:val="00BC7492"/>
    <w:rsid w:val="00C96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CC8744-2A0B-4891-B046-15751CCB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9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C74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7492"/>
  </w:style>
  <w:style w:type="paragraph" w:styleId="Voettekst">
    <w:name w:val="footer"/>
    <w:basedOn w:val="Standaard"/>
    <w:link w:val="VoettekstChar"/>
    <w:uiPriority w:val="99"/>
    <w:unhideWhenUsed/>
    <w:rsid w:val="00BC74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7492"/>
  </w:style>
  <w:style w:type="paragraph" w:styleId="Tekstzonderopmaak">
    <w:name w:val="Plain Text"/>
    <w:basedOn w:val="Standaard"/>
    <w:link w:val="TekstzonderopmaakChar"/>
    <w:uiPriority w:val="99"/>
    <w:unhideWhenUsed/>
    <w:rsid w:val="008D1159"/>
    <w:pPr>
      <w:spacing w:after="0" w:line="240" w:lineRule="auto"/>
    </w:pPr>
    <w:rPr>
      <w:rFonts w:cstheme="minorBidi"/>
      <w:szCs w:val="21"/>
    </w:rPr>
  </w:style>
  <w:style w:type="character" w:customStyle="1" w:styleId="TekstzonderopmaakChar">
    <w:name w:val="Tekst zonder opmaak Char"/>
    <w:basedOn w:val="Standaardalinea-lettertype"/>
    <w:link w:val="Tekstzonderopmaak"/>
    <w:uiPriority w:val="99"/>
    <w:rsid w:val="008D1159"/>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343">
      <w:bodyDiv w:val="1"/>
      <w:marLeft w:val="0"/>
      <w:marRight w:val="0"/>
      <w:marTop w:val="0"/>
      <w:marBottom w:val="0"/>
      <w:divBdr>
        <w:top w:val="none" w:sz="0" w:space="0" w:color="auto"/>
        <w:left w:val="none" w:sz="0" w:space="0" w:color="auto"/>
        <w:bottom w:val="none" w:sz="0" w:space="0" w:color="auto"/>
        <w:right w:val="none" w:sz="0" w:space="0" w:color="auto"/>
      </w:divBdr>
    </w:div>
    <w:div w:id="14965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Broere</cp:lastModifiedBy>
  <cp:revision>2</cp:revision>
  <dcterms:created xsi:type="dcterms:W3CDTF">2015-02-24T09:53:00Z</dcterms:created>
  <dcterms:modified xsi:type="dcterms:W3CDTF">2015-03-04T14:14:00Z</dcterms:modified>
</cp:coreProperties>
</file>